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42" w:rsidRPr="00101542" w:rsidRDefault="00010057" w:rsidP="00101542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noProof/>
          <w:sz w:val="28"/>
          <w:szCs w:val="28"/>
        </w:rPr>
        <w:drawing>
          <wp:inline distT="0" distB="0" distL="0" distR="0">
            <wp:extent cx="61722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542" w:rsidRDefault="00101542" w:rsidP="00101542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101542" w:rsidRDefault="00101542" w:rsidP="00101542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101542" w:rsidRDefault="00101542" w:rsidP="007D3502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-Roman" w:hAnsi="Times-Roman" w:cs="Times-Roman"/>
              <w:sz w:val="28"/>
              <w:szCs w:val="28"/>
            </w:rPr>
            <w:t>MARYLAND</w:t>
          </w:r>
        </w:smartTag>
      </w:smartTag>
      <w:r>
        <w:rPr>
          <w:rFonts w:ascii="Times-Roman" w:hAnsi="Times-Roman" w:cs="Times-Roman"/>
          <w:sz w:val="28"/>
          <w:szCs w:val="28"/>
        </w:rPr>
        <w:t xml:space="preserve"> ASSOCIATION OF PREVENTION</w:t>
      </w:r>
    </w:p>
    <w:p w:rsidR="00101542" w:rsidRDefault="00101542" w:rsidP="007D3502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PROFESSIONALS AND ADVOCATES</w:t>
      </w:r>
    </w:p>
    <w:p w:rsidR="007D3502" w:rsidRDefault="007D3502" w:rsidP="007D3502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8"/>
          <w:szCs w:val="28"/>
        </w:rPr>
      </w:pPr>
    </w:p>
    <w:p w:rsidR="00101542" w:rsidRDefault="00101542" w:rsidP="007D3502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POSITION STATEMENT ON TOBACCO CONTROL</w:t>
      </w:r>
    </w:p>
    <w:p w:rsidR="007D3502" w:rsidRDefault="007D3502" w:rsidP="007D3502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</w:p>
    <w:p w:rsidR="00101542" w:rsidRDefault="00101542" w:rsidP="0010154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Maryland Association of Prevention Professionals and Advocates (MAPPA) support</w:t>
      </w:r>
    </w:p>
    <w:p w:rsidR="00101542" w:rsidRDefault="00101542" w:rsidP="0010154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policies and laws, which reduce tobacco addiction among adults and young people.</w:t>
      </w:r>
    </w:p>
    <w:p w:rsidR="007D3502" w:rsidRDefault="007D3502" w:rsidP="0010154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01542" w:rsidRDefault="00101542" w:rsidP="00101542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To reduce the numbers of young people who begin smoking</w:t>
      </w:r>
    </w:p>
    <w:p w:rsidR="007D3502" w:rsidRDefault="007D3502" w:rsidP="00101542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101542" w:rsidRDefault="00101542" w:rsidP="0010154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MAPPA supports significantly raising the price of tobacco products through</w:t>
      </w:r>
    </w:p>
    <w:p w:rsidR="0041615C" w:rsidRDefault="00101542" w:rsidP="0010154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taxation. </w:t>
      </w:r>
    </w:p>
    <w:p w:rsidR="0041615C" w:rsidRDefault="00101542" w:rsidP="0041615C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For every 10% increase in the price of tobacco, use among young people falls</w:t>
      </w:r>
      <w:r w:rsidR="0041615C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7%. </w:t>
      </w:r>
    </w:p>
    <w:p w:rsidR="00101542" w:rsidRDefault="00101542" w:rsidP="0041615C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Institute of Medicine, the US Surgeon General’s Office, the Centers for Disease</w:t>
      </w:r>
      <w:r w:rsidR="0041615C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Control and Prevention, the World Health Organization, and others all support higher</w:t>
      </w:r>
      <w:r w:rsidR="0041615C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tobacco taxes as the most effective way to discourage teen smoking.</w:t>
      </w:r>
    </w:p>
    <w:p w:rsidR="007D3502" w:rsidRDefault="007D3502" w:rsidP="0010154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1615C" w:rsidRDefault="00101542" w:rsidP="0041615C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MAPPA supports the establishment of</w:t>
      </w:r>
      <w:r w:rsidR="0041615C">
        <w:rPr>
          <w:rFonts w:ascii="Times-Bold" w:hAnsi="Times-Bold" w:cs="Times-Bold"/>
          <w:b/>
          <w:bCs/>
        </w:rPr>
        <w:t xml:space="preserve"> the recommended program element budgets for a</w:t>
      </w:r>
      <w:r>
        <w:rPr>
          <w:rFonts w:ascii="Times-Bold" w:hAnsi="Times-Bold" w:cs="Times-Bold"/>
          <w:b/>
          <w:bCs/>
        </w:rPr>
        <w:t xml:space="preserve"> comprehensive tobacco use prevention</w:t>
      </w:r>
      <w:r w:rsidR="0041615C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>program funded at levels suggested by the Centers for Disease Control and</w:t>
      </w:r>
      <w:r w:rsidR="0041615C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 xml:space="preserve">Prevention ($30 million - $78 million annually in </w:t>
      </w:r>
      <w:smartTag w:uri="urn:schemas-microsoft-com:office:smarttags" w:element="State">
        <w:smartTag w:uri="urn:schemas-microsoft-com:office:smarttags" w:element="place">
          <w:r>
            <w:rPr>
              <w:rFonts w:ascii="Times-Bold" w:hAnsi="Times-Bold" w:cs="Times-Bold"/>
              <w:b/>
              <w:bCs/>
            </w:rPr>
            <w:t>Maryland</w:t>
          </w:r>
        </w:smartTag>
      </w:smartTag>
      <w:r>
        <w:rPr>
          <w:rFonts w:ascii="Times-Bold" w:hAnsi="Times-Bold" w:cs="Times-Bold"/>
          <w:b/>
          <w:bCs/>
        </w:rPr>
        <w:t>)</w:t>
      </w:r>
      <w:r>
        <w:rPr>
          <w:rFonts w:ascii="Times-Roman" w:hAnsi="Times-Roman" w:cs="Times-Roman"/>
        </w:rPr>
        <w:t>.</w:t>
      </w:r>
    </w:p>
    <w:p w:rsidR="0041615C" w:rsidRDefault="00101542" w:rsidP="0041615C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In </w:t>
      </w:r>
      <w:r w:rsidR="0041615C">
        <w:rPr>
          <w:rFonts w:ascii="Times-Roman" w:hAnsi="Times-Roman" w:cs="Times-Roman"/>
        </w:rPr>
        <w:t>August 1999</w:t>
      </w:r>
      <w:r>
        <w:rPr>
          <w:rFonts w:ascii="Times-Roman" w:hAnsi="Times-Roman" w:cs="Times-Roman"/>
        </w:rPr>
        <w:t>, the</w:t>
      </w:r>
      <w:r w:rsidR="0041615C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CDC issued best practices for reducing tobacco use based on successful programs in</w:t>
      </w:r>
      <w:r w:rsidR="0041615C">
        <w:rPr>
          <w:rFonts w:ascii="Times-Roman" w:hAnsi="Times-Roman" w:cs="Times-Roman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-Roman" w:hAnsi="Times-Roman" w:cs="Times-Roman"/>
            </w:rPr>
            <w:t>Massachusetts</w:t>
          </w:r>
        </w:smartTag>
      </w:smartTag>
      <w:r>
        <w:rPr>
          <w:rFonts w:ascii="Times-Roman" w:hAnsi="Times-Roman" w:cs="Times-Roman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rFonts w:ascii="Times-Roman" w:hAnsi="Times-Roman" w:cs="Times-Roman"/>
            </w:rPr>
            <w:t>California</w:t>
          </w:r>
        </w:smartTag>
      </w:smartTag>
      <w:r w:rsidR="0041615C">
        <w:rPr>
          <w:rFonts w:ascii="Times-Roman" w:hAnsi="Times-Roman" w:cs="Times-Roman"/>
        </w:rPr>
        <w:t>.</w:t>
      </w:r>
    </w:p>
    <w:p w:rsidR="00101542" w:rsidRDefault="00101542" w:rsidP="0041615C">
      <w:pPr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MAPPA endorses these best practices to guide</w:t>
      </w:r>
      <w:r w:rsidR="0041615C">
        <w:rPr>
          <w:rFonts w:ascii="Times-Roman" w:hAnsi="Times-Roman" w:cs="Times-Roman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-Roman" w:hAnsi="Times-Roman" w:cs="Times-Roman"/>
            </w:rPr>
            <w:t>Maryland</w:t>
          </w:r>
        </w:smartTag>
      </w:smartTag>
      <w:r>
        <w:rPr>
          <w:rFonts w:ascii="Times-Roman" w:hAnsi="Times-Roman" w:cs="Times-Roman"/>
        </w:rPr>
        <w:t>’s tobacco use prevention and cessation programs.</w:t>
      </w:r>
    </w:p>
    <w:p w:rsidR="007D3502" w:rsidRDefault="007D3502" w:rsidP="0010154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340659" w:rsidRDefault="00340659" w:rsidP="00340659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MAPPA supports that ALL tobacco products should be out of reach of youth.</w:t>
      </w:r>
    </w:p>
    <w:p w:rsidR="00340659" w:rsidRDefault="00340659" w:rsidP="00340659">
      <w:pPr>
        <w:numPr>
          <w:ilvl w:val="0"/>
          <w:numId w:val="3"/>
        </w:numPr>
        <w:autoSpaceDE w:val="0"/>
        <w:autoSpaceDN w:val="0"/>
        <w:adjustRightInd w:val="0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Tobacco products (cigarettes, cigars, chew, snuff, bidis, pipes, tobacco, rolling papers, blunt wrappers) should be behind the counter; not ON the counter.</w:t>
      </w:r>
    </w:p>
    <w:p w:rsidR="00340659" w:rsidRDefault="00340659" w:rsidP="0010154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1615C" w:rsidRDefault="00101542" w:rsidP="0010154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MAPPA supports </w:t>
      </w:r>
      <w:r w:rsidR="0041615C">
        <w:rPr>
          <w:rFonts w:ascii="Times-Bold" w:hAnsi="Times-Bold" w:cs="Times-Bold"/>
          <w:b/>
          <w:bCs/>
        </w:rPr>
        <w:t xml:space="preserve">product packages providing </w:t>
      </w:r>
      <w:r>
        <w:rPr>
          <w:rFonts w:ascii="Times-Bold" w:hAnsi="Times-Bold" w:cs="Times-Bold"/>
          <w:b/>
          <w:bCs/>
        </w:rPr>
        <w:t>restriction</w:t>
      </w:r>
      <w:r w:rsidR="0041615C">
        <w:rPr>
          <w:rFonts w:ascii="Times-Bold" w:hAnsi="Times-Bold" w:cs="Times-Bold"/>
          <w:b/>
          <w:bCs/>
        </w:rPr>
        <w:t>s</w:t>
      </w:r>
      <w:r>
        <w:rPr>
          <w:rFonts w:ascii="Times-Bold" w:hAnsi="Times-Bold" w:cs="Times-Bold"/>
          <w:b/>
          <w:bCs/>
        </w:rPr>
        <w:t xml:space="preserve"> on tobacco advertisin</w:t>
      </w:r>
      <w:r w:rsidR="00322FE3">
        <w:rPr>
          <w:rFonts w:ascii="Times-Bold" w:hAnsi="Times-Bold" w:cs="Times-Bold"/>
          <w:b/>
          <w:bCs/>
        </w:rPr>
        <w:t>g such as risks of addiction, miscarriage, and information on toxic components of cigarettes (CDC, 2007)</w:t>
      </w:r>
      <w:r w:rsidR="004B743B">
        <w:rPr>
          <w:rFonts w:ascii="Times-Roman" w:hAnsi="Times-Roman" w:cs="Times-Roman"/>
        </w:rPr>
        <w:t xml:space="preserve">; </w:t>
      </w:r>
      <w:r w:rsidR="004B743B" w:rsidRPr="004B743B">
        <w:rPr>
          <w:rFonts w:ascii="Times-Roman" w:hAnsi="Times-Roman" w:cs="Times-Roman"/>
          <w:i/>
        </w:rPr>
        <w:t>Companies have long targeted their advertising at youth</w:t>
      </w:r>
      <w:r w:rsidR="004B743B">
        <w:rPr>
          <w:rFonts w:ascii="Times-Roman" w:hAnsi="Times-Roman" w:cs="Times-Roman"/>
        </w:rPr>
        <w:t>:</w:t>
      </w:r>
    </w:p>
    <w:p w:rsidR="0041615C" w:rsidRDefault="00322FE3" w:rsidP="0041615C">
      <w:pPr>
        <w:numPr>
          <w:ilvl w:val="0"/>
          <w:numId w:val="2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use of tombstone tobacco ads in commercial areas</w:t>
      </w:r>
    </w:p>
    <w:p w:rsidR="0041615C" w:rsidRDefault="00322FE3" w:rsidP="0041615C">
      <w:pPr>
        <w:numPr>
          <w:ilvl w:val="0"/>
          <w:numId w:val="2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Banning of tobacco ads in residential area where children congregate</w:t>
      </w:r>
    </w:p>
    <w:p w:rsidR="0041615C" w:rsidRDefault="00322FE3" w:rsidP="0041615C">
      <w:pPr>
        <w:numPr>
          <w:ilvl w:val="0"/>
          <w:numId w:val="2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Elimination of self-service/point-of-purchase displays</w:t>
      </w:r>
    </w:p>
    <w:p w:rsidR="0041615C" w:rsidRDefault="0041615C" w:rsidP="003406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01542" w:rsidRDefault="00101542" w:rsidP="0010154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MAPPA supports comprehensive laws to reduce youth (under 18) access to tobacco</w:t>
      </w:r>
      <w:r>
        <w:rPr>
          <w:rFonts w:ascii="Times-Roman" w:hAnsi="Times-Roman" w:cs="Times-Roman"/>
        </w:rPr>
        <w:t>.</w:t>
      </w:r>
    </w:p>
    <w:p w:rsidR="00101542" w:rsidRDefault="00101542" w:rsidP="00BF3D44">
      <w:pPr>
        <w:numPr>
          <w:ilvl w:val="0"/>
          <w:numId w:val="4"/>
        </w:num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Local governments should enforce laws that prohibit the sale of tobacco to youth.</w:t>
      </w:r>
    </w:p>
    <w:p w:rsidR="004B743B" w:rsidRDefault="004B743B" w:rsidP="00BF3D44">
      <w:pPr>
        <w:numPr>
          <w:ilvl w:val="0"/>
          <w:numId w:val="4"/>
        </w:num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majority of adult smokers started smoking by the age of 18 (CDC, 2007).</w:t>
      </w:r>
    </w:p>
    <w:p w:rsidR="008773B2" w:rsidRDefault="004B743B" w:rsidP="00BF3D44">
      <w:pPr>
        <w:numPr>
          <w:ilvl w:val="0"/>
          <w:numId w:val="4"/>
        </w:numPr>
        <w:rPr>
          <w:rFonts w:ascii="Times-Roman" w:hAnsi="Times-Roman" w:cs="Times-Roman"/>
        </w:rPr>
      </w:pPr>
      <w:r>
        <w:rPr>
          <w:rFonts w:ascii="Times-Roman" w:hAnsi="Times-Roman" w:cs="Times-Roman"/>
        </w:rPr>
        <w:t>Every day, an estimated 3,900 young people under the age of 18 try their first cigarette (CDC, 2007).</w:t>
      </w:r>
    </w:p>
    <w:p w:rsidR="00BF3D44" w:rsidRDefault="008773B2" w:rsidP="00BF3D44">
      <w:pPr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Tobacco license holders should face fines and eventual suspension/revocation of their</w:t>
      </w:r>
      <w:r w:rsidR="00BF3D4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license for r</w:t>
      </w:r>
      <w:r w:rsidR="00BF3D44">
        <w:rPr>
          <w:rFonts w:ascii="Times-Roman" w:hAnsi="Times-Roman" w:cs="Times-Roman"/>
        </w:rPr>
        <w:t>epeated illegal sales to youth.</w:t>
      </w:r>
    </w:p>
    <w:p w:rsidR="008773B2" w:rsidRDefault="008773B2" w:rsidP="00BF3D44">
      <w:pPr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sale of tobacco through vending machines</w:t>
      </w:r>
      <w:r w:rsidR="00BF3D4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should be prohibited.</w:t>
      </w:r>
    </w:p>
    <w:p w:rsidR="008773B2" w:rsidRDefault="008773B2" w:rsidP="008773B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8773B2" w:rsidRDefault="008773B2" w:rsidP="008773B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MAPPA supports local government authority over the distribution, marketing and</w:t>
      </w:r>
    </w:p>
    <w:p w:rsidR="00BF3D44" w:rsidRDefault="008773B2" w:rsidP="008773B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sale of tobacco products and opposes state preemption laws</w:t>
      </w:r>
      <w:r w:rsidR="00BF3D44">
        <w:rPr>
          <w:rFonts w:ascii="Times-Roman" w:hAnsi="Times-Roman" w:cs="Times-Roman"/>
        </w:rPr>
        <w:t>.</w:t>
      </w:r>
    </w:p>
    <w:p w:rsidR="008773B2" w:rsidRDefault="008773B2" w:rsidP="008773B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tobacco industry’s</w:t>
      </w:r>
      <w:r w:rsidR="00BF3D4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lobby has been a powerful force in </w:t>
      </w:r>
      <w:smartTag w:uri="urn:schemas-microsoft-com:office:smarttags" w:element="City">
        <w:smartTag w:uri="urn:schemas-microsoft-com:office:smarttags" w:element="place">
          <w:r>
            <w:rPr>
              <w:rFonts w:ascii="Times-Roman" w:hAnsi="Times-Roman" w:cs="Times-Roman"/>
            </w:rPr>
            <w:t>Annapolis</w:t>
          </w:r>
        </w:smartTag>
      </w:smartTag>
      <w:r>
        <w:rPr>
          <w:rFonts w:ascii="Times-Roman" w:hAnsi="Times-Roman" w:cs="Times-Roman"/>
        </w:rPr>
        <w:t xml:space="preserve"> and </w:t>
      </w:r>
      <w:smartTag w:uri="urn:schemas-microsoft-com:office:smarttags" w:element="State">
        <w:smartTag w:uri="urn:schemas-microsoft-com:office:smarttags" w:element="place">
          <w:r>
            <w:rPr>
              <w:rFonts w:ascii="Times-Roman" w:hAnsi="Times-Roman" w:cs="Times-Roman"/>
            </w:rPr>
            <w:t>Washington</w:t>
          </w:r>
        </w:smartTag>
      </w:smartTag>
      <w:r>
        <w:rPr>
          <w:rFonts w:ascii="Times-Roman" w:hAnsi="Times-Roman" w:cs="Times-Roman"/>
        </w:rPr>
        <w:t>. One international</w:t>
      </w:r>
      <w:r w:rsidR="00BF3D4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Tobacco Institute document from 1992 states, “</w:t>
      </w:r>
      <w:r>
        <w:rPr>
          <w:rFonts w:ascii="Times-Italic" w:hAnsi="Times-Italic" w:cs="Times-Italic"/>
          <w:i/>
          <w:iCs/>
        </w:rPr>
        <w:t>our ultimate goal…is preemption of local</w:t>
      </w:r>
      <w:r w:rsidR="00BF3D44">
        <w:rPr>
          <w:rFonts w:ascii="Times-Italic" w:hAnsi="Times-Italic" w:cs="Times-Italic"/>
          <w:i/>
          <w:iCs/>
        </w:rPr>
        <w:t xml:space="preserve"> </w:t>
      </w:r>
      <w:r>
        <w:rPr>
          <w:rFonts w:ascii="Times-Italic" w:hAnsi="Times-Italic" w:cs="Times-Italic"/>
          <w:i/>
          <w:iCs/>
        </w:rPr>
        <w:t>anti-tobacco ordinances. The other actions I have outlined are necessary holding efforts</w:t>
      </w:r>
      <w:r w:rsidR="00BF3D44">
        <w:rPr>
          <w:rFonts w:ascii="Times-Italic" w:hAnsi="Times-Italic" w:cs="Times-Italic"/>
          <w:i/>
          <w:iCs/>
        </w:rPr>
        <w:t xml:space="preserve"> </w:t>
      </w:r>
      <w:r>
        <w:rPr>
          <w:rFonts w:ascii="Times-Italic" w:hAnsi="Times-Italic" w:cs="Times-Italic"/>
          <w:i/>
          <w:iCs/>
        </w:rPr>
        <w:t>to limit local damage while we work vigorously for local preemption</w:t>
      </w:r>
      <w:r>
        <w:rPr>
          <w:rFonts w:ascii="Times-Roman" w:hAnsi="Times-Roman" w:cs="Times-Roman"/>
        </w:rPr>
        <w:t>.” Local</w:t>
      </w:r>
      <w:r w:rsidR="00BF3D4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governments can have the most impact in reducing tobacco use because the industry does</w:t>
      </w:r>
      <w:r w:rsidR="00BF3D4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not have a lock on local government officials.</w:t>
      </w:r>
    </w:p>
    <w:p w:rsidR="008773B2" w:rsidRDefault="008773B2" w:rsidP="008773B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BF3D44" w:rsidRDefault="00BF3D44" w:rsidP="008773B2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Italic" w:hAnsi="Times-BoldItalic" w:cs="Times-BoldItalic"/>
          <w:b/>
          <w:bCs/>
          <w:i/>
          <w:iCs/>
        </w:rPr>
        <w:t>Secondhand Smoke</w:t>
      </w:r>
    </w:p>
    <w:p w:rsidR="00BF3D44" w:rsidRDefault="00BF3D44" w:rsidP="008773B2">
      <w:pPr>
        <w:autoSpaceDE w:val="0"/>
        <w:autoSpaceDN w:val="0"/>
        <w:adjustRightInd w:val="0"/>
        <w:rPr>
          <w:rFonts w:ascii="Times-BoldItalic" w:hAnsi="Times-BoldItalic" w:cs="Times-BoldItalic"/>
          <w:b/>
          <w:bCs/>
          <w:i/>
          <w:iCs/>
        </w:rPr>
      </w:pPr>
    </w:p>
    <w:p w:rsidR="008773B2" w:rsidRDefault="008773B2" w:rsidP="008773B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MAPPA supports smoke free public places and worksites including restaurants and</w:t>
      </w:r>
    </w:p>
    <w:p w:rsidR="008773B2" w:rsidRPr="00E64D13" w:rsidRDefault="00BF3D44" w:rsidP="008773B2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rPr>
          <w:rFonts w:ascii="Times-Bold" w:hAnsi="Times-Bold" w:cs="Times-Bold"/>
          <w:b/>
          <w:bCs/>
        </w:rPr>
        <w:t>b</w:t>
      </w:r>
      <w:r w:rsidR="008773B2">
        <w:rPr>
          <w:rFonts w:ascii="Times-Bold" w:hAnsi="Times-Bold" w:cs="Times-Bold"/>
          <w:b/>
          <w:bCs/>
        </w:rPr>
        <w:t>ars</w:t>
      </w:r>
      <w:r>
        <w:rPr>
          <w:rFonts w:ascii="Times-Bold" w:hAnsi="Times-Bold" w:cs="Times-Bold"/>
          <w:b/>
          <w:bCs/>
        </w:rPr>
        <w:t xml:space="preserve">. We also support </w:t>
      </w:r>
      <w:smartTag w:uri="urn:schemas-microsoft-com:office:smarttags" w:element="State">
        <w:smartTag w:uri="urn:schemas-microsoft-com:office:smarttags" w:element="place">
          <w:r>
            <w:rPr>
              <w:rFonts w:ascii="Times-Bold" w:hAnsi="Times-Bold" w:cs="Times-Bold"/>
              <w:b/>
              <w:bCs/>
            </w:rPr>
            <w:t>Maryland</w:t>
          </w:r>
        </w:smartTag>
      </w:smartTag>
      <w:r>
        <w:rPr>
          <w:rFonts w:ascii="Times-Bold" w:hAnsi="Times-Bold" w:cs="Times-Bold"/>
          <w:b/>
          <w:bCs/>
        </w:rPr>
        <w:t>’s Clean Indoor Air Act of 2007 and would support further legislation impacting all industries.</w:t>
      </w:r>
      <w:r w:rsidR="008773B2">
        <w:rPr>
          <w:rFonts w:ascii="Times-Roman" w:hAnsi="Times-Roman" w:cs="Times-Roman"/>
        </w:rPr>
        <w:t xml:space="preserve"> </w:t>
      </w:r>
      <w:smartTag w:uri="urn:schemas-microsoft-com:office:smarttags" w:element="State">
        <w:smartTag w:uri="urn:schemas-microsoft-com:office:smarttags" w:element="place">
          <w:r w:rsidR="008773B2" w:rsidRPr="00E64D13">
            <w:rPr>
              <w:rFonts w:ascii="Times-Roman" w:hAnsi="Times-Roman" w:cs="Times-Roman"/>
              <w:b/>
            </w:rPr>
            <w:t>Maryland</w:t>
          </w:r>
        </w:smartTag>
      </w:smartTag>
      <w:r w:rsidR="008773B2" w:rsidRPr="00E64D13">
        <w:rPr>
          <w:rFonts w:ascii="Times-Roman" w:hAnsi="Times-Roman" w:cs="Times-Roman"/>
          <w:b/>
        </w:rPr>
        <w:t xml:space="preserve"> made most workplaces smoke free in 1995. Only hospitality employees</w:t>
      </w:r>
    </w:p>
    <w:p w:rsidR="008773B2" w:rsidRDefault="008773B2" w:rsidP="008773B2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E64D13">
        <w:rPr>
          <w:rFonts w:ascii="Times-Roman" w:hAnsi="Times-Roman" w:cs="Times-Roman"/>
          <w:b/>
        </w:rPr>
        <w:t>and volunteers are left unprotected from secondhand smoke.</w:t>
      </w:r>
      <w:r>
        <w:rPr>
          <w:rFonts w:ascii="Times-Roman" w:hAnsi="Times-Roman" w:cs="Times-Roman"/>
        </w:rPr>
        <w:t xml:space="preserve"> </w:t>
      </w:r>
    </w:p>
    <w:p w:rsidR="00E64D13" w:rsidRDefault="00E64D13" w:rsidP="00E64D13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Secondhand smoke exposure is the third leading cause of preventable death, killing 1,000 Marylanders every year (ACS, 2007).</w:t>
      </w:r>
    </w:p>
    <w:p w:rsidR="00E64D13" w:rsidRDefault="00E64D13" w:rsidP="00E64D13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Secondhand smoke contains more than 250 toxins and cancer-causing chemicals, such as carbon monoxide, formaldehyde, arsenic, benzene, and lead (ACS, 2007).</w:t>
      </w:r>
    </w:p>
    <w:p w:rsidR="00E64D13" w:rsidRDefault="00E64D13" w:rsidP="00E64D13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The economic costs of exposure to secondhand tobacco smoke due to illness and death in </w:t>
      </w:r>
      <w:smartTag w:uri="urn:schemas-microsoft-com:office:smarttags" w:element="State">
        <w:smartTag w:uri="urn:schemas-microsoft-com:office:smarttags" w:element="place">
          <w:r>
            <w:rPr>
              <w:rFonts w:ascii="Times-Roman" w:hAnsi="Times-Roman" w:cs="Times-Roman"/>
            </w:rPr>
            <w:t>Maryland</w:t>
          </w:r>
        </w:smartTag>
      </w:smartTag>
      <w:r>
        <w:rPr>
          <w:rFonts w:ascii="Times-Roman" w:hAnsi="Times-Roman" w:cs="Times-Roman"/>
        </w:rPr>
        <w:t xml:space="preserve"> were $597 million in 2005 according to Johns Hopkins study. Economics studies show that smokefree laws do not harm business. (ACS, 2007).</w:t>
      </w:r>
    </w:p>
    <w:p w:rsidR="00E64D13" w:rsidRDefault="00E64D13" w:rsidP="00E64D13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There is no risk-free level of exposure to secondhand smoke; brief exposure can cause harm (ACS, 2007).</w:t>
      </w:r>
    </w:p>
    <w:p w:rsidR="00E64D13" w:rsidRDefault="00E64D13" w:rsidP="00E64D13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Ventilation systems do not work in removing the toxins in secondhand smoke (ACS, 2007).</w:t>
      </w:r>
    </w:p>
    <w:p w:rsidR="00E64D13" w:rsidRDefault="00E64D13" w:rsidP="00E64D13">
      <w:pPr>
        <w:numPr>
          <w:ilvl w:val="0"/>
          <w:numId w:val="5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only way to protect nonsmokers from the dangerous chemicals in secondhand smoke is to eliminate smoking indoors (ACS, 2007).</w:t>
      </w:r>
    </w:p>
    <w:p w:rsidR="008773B2" w:rsidRDefault="008773B2" w:rsidP="008773B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8773B2" w:rsidRDefault="008773B2" w:rsidP="008773B2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MAPPA supports insurance coverage of smoking cessation services and</w:t>
      </w:r>
    </w:p>
    <w:p w:rsidR="00DC156C" w:rsidRDefault="008773B2" w:rsidP="008773B2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pharmacotherapy</w:t>
      </w:r>
      <w:r w:rsidR="00DC156C">
        <w:rPr>
          <w:rFonts w:ascii="Times-Roman" w:hAnsi="Times-Roman" w:cs="Times-Roman"/>
        </w:rPr>
        <w:t>.</w:t>
      </w:r>
    </w:p>
    <w:p w:rsidR="008773B2" w:rsidRDefault="008773B2" w:rsidP="00DC156C">
      <w:pPr>
        <w:numPr>
          <w:ilvl w:val="0"/>
          <w:numId w:val="6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Anyone wanting to quit tobacco use should have every medical</w:t>
      </w:r>
      <w:r w:rsidR="00DC156C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opportunity to do so and should not be limited by lack of insurance coverage.</w:t>
      </w:r>
    </w:p>
    <w:p w:rsidR="00101542" w:rsidRDefault="00101542" w:rsidP="00101542">
      <w:pPr>
        <w:rPr>
          <w:rFonts w:ascii="Times-Roman" w:hAnsi="Times-Roman" w:cs="Times-Roman"/>
        </w:rPr>
      </w:pPr>
    </w:p>
    <w:p w:rsidR="00101542" w:rsidRDefault="00101542" w:rsidP="00101542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18"/>
          <w:szCs w:val="18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-Roman" w:hAnsi="Times-Roman" w:cs="Times-Roman"/>
              <w:sz w:val="18"/>
              <w:szCs w:val="18"/>
            </w:rPr>
            <w:lastRenderedPageBreak/>
            <w:t>Maryland</w:t>
          </w:r>
        </w:smartTag>
      </w:smartTag>
      <w:r>
        <w:rPr>
          <w:rFonts w:ascii="Times-Roman" w:hAnsi="Times-Roman" w:cs="Times-Roman"/>
          <w:sz w:val="18"/>
          <w:szCs w:val="18"/>
        </w:rPr>
        <w:t xml:space="preserve"> Association of Prevention Professionals and Advocates</w:t>
      </w:r>
    </w:p>
    <w:p w:rsidR="00101542" w:rsidRDefault="00101542" w:rsidP="00101542">
      <w:pPr>
        <w:jc w:val="center"/>
      </w:pPr>
      <w:smartTag w:uri="urn:schemas-microsoft-com:office:smarttags" w:element="address">
        <w:smartTag w:uri="urn:schemas-microsoft-com:office:smarttags" w:element="Street">
          <w:r>
            <w:rPr>
              <w:rFonts w:ascii="Times-Roman" w:hAnsi="Times-Roman" w:cs="Times-Roman"/>
              <w:sz w:val="18"/>
              <w:szCs w:val="18"/>
            </w:rPr>
            <w:t>P.O. Box 609</w:t>
          </w:r>
        </w:smartTag>
        <w:r>
          <w:rPr>
            <w:rFonts w:ascii="Times-Roman" w:hAnsi="Times-Roman" w:cs="Times-Roman"/>
            <w:sz w:val="18"/>
            <w:szCs w:val="18"/>
          </w:rPr>
          <w:t xml:space="preserve">, </w:t>
        </w:r>
        <w:smartTag w:uri="urn:schemas-microsoft-com:office:smarttags" w:element="City">
          <w:r>
            <w:rPr>
              <w:rFonts w:ascii="Times-Roman" w:hAnsi="Times-Roman" w:cs="Times-Roman"/>
              <w:sz w:val="18"/>
              <w:szCs w:val="18"/>
            </w:rPr>
            <w:t>Linkwood</w:t>
          </w:r>
        </w:smartTag>
        <w:r>
          <w:rPr>
            <w:rFonts w:ascii="Times-Roman" w:hAnsi="Times-Roman" w:cs="Times-Roman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Times-Roman" w:hAnsi="Times-Roman" w:cs="Times-Roman"/>
              <w:sz w:val="18"/>
              <w:szCs w:val="18"/>
            </w:rPr>
            <w:t>MD</w:t>
          </w:r>
        </w:smartTag>
        <w:r>
          <w:rPr>
            <w:rFonts w:ascii="Times-Roman" w:hAnsi="Times-Roman" w:cs="Times-Roman"/>
            <w:sz w:val="18"/>
            <w:szCs w:val="18"/>
          </w:rPr>
          <w:t xml:space="preserve"> </w:t>
        </w:r>
        <w:smartTag w:uri="urn:schemas-microsoft-com:office:smarttags" w:element="PostalCode">
          <w:r>
            <w:rPr>
              <w:rFonts w:ascii="Times-Roman" w:hAnsi="Times-Roman" w:cs="Times-Roman"/>
              <w:sz w:val="18"/>
              <w:szCs w:val="18"/>
            </w:rPr>
            <w:t>21835</w:t>
          </w:r>
        </w:smartTag>
      </w:smartTag>
    </w:p>
    <w:sectPr w:rsidR="001015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F0D"/>
    <w:multiLevelType w:val="hybridMultilevel"/>
    <w:tmpl w:val="A6E4F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03C1F"/>
    <w:multiLevelType w:val="hybridMultilevel"/>
    <w:tmpl w:val="7864F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E314C"/>
    <w:multiLevelType w:val="hybridMultilevel"/>
    <w:tmpl w:val="C6949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8A748C"/>
    <w:multiLevelType w:val="hybridMultilevel"/>
    <w:tmpl w:val="3FC6D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C39C6"/>
    <w:multiLevelType w:val="hybridMultilevel"/>
    <w:tmpl w:val="313C4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E83800"/>
    <w:multiLevelType w:val="hybridMultilevel"/>
    <w:tmpl w:val="1FE02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101542"/>
    <w:rsid w:val="00010057"/>
    <w:rsid w:val="00101542"/>
    <w:rsid w:val="00322FE3"/>
    <w:rsid w:val="00340659"/>
    <w:rsid w:val="0041615C"/>
    <w:rsid w:val="004B743B"/>
    <w:rsid w:val="007D3502"/>
    <w:rsid w:val="008773B2"/>
    <w:rsid w:val="00BF3D44"/>
    <w:rsid w:val="00DC156C"/>
    <w:rsid w:val="00E6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Dorchester County Health Department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Bramble</dc:creator>
  <cp:lastModifiedBy>OTHC</cp:lastModifiedBy>
  <cp:revision>2</cp:revision>
  <dcterms:created xsi:type="dcterms:W3CDTF">2013-03-31T12:20:00Z</dcterms:created>
  <dcterms:modified xsi:type="dcterms:W3CDTF">2013-03-31T12:20:00Z</dcterms:modified>
</cp:coreProperties>
</file>